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L' Istante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Un istante,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non è che uno scatto immortalato nella prigione dell'inafferrabile secondo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per liberare l'attimo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nella spontaneità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di un'ancestrale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ricordo utopico,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 portare dall'avito natio dell'essere congruo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ampliandosi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nel rotocalco senza tempo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del cuor sensibile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 sua vita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 incensare la sua essenza,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una bella atavica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fotografia vintage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 cancellare talvolta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astrusi cacotopie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in un giorno futuro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tra le mani trasognanti,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quando asciugheranno armoniosamente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nella tristizia tutte le lacrime quelle gemme d'emozioni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che non appassiranno mai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tra vestigi e florilegi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decorati nel presente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che arranca,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ricamando senza sosta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istanti per cui vivere,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istanti per cui morire,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sul lembo del fato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che avvolge di stupori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da assaporare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con consapevole incontestabilità.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