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Vorrei 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Vorrei poter dare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un nome, un volto e nuance 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a questa melanconia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che adduco nel cuore 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che mi rende 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allo stesso tempo 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schiava e inquieta!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Cosicché possa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accusarlo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in volto con foga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di farmi stare così imprigionata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nella sua morsa d'amore, rendendolo colpevole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di tutte queste lacrime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senza luce che brilli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alla luce del sole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tra le sue avide mani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mai confortevoli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sul mio viso estenuato errabondo all'infinito,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oltre ogni lene percezione!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Ma che brucia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nel profondo dell'anima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questa immane malinconia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per un inetto amore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da stracciare e buttare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nel burrone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dei rivoli di seta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ad accarezzarlo come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suadente piuma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mentre si dissolve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come brillante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polvere di stelle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che raggiunge un cielo livido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in un frigido addio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che congeli quei gingilli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nello scrigno del mio cuore 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che gelosamente conservo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in seno all'anima 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ma nel contempo consegno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al trapasso atro compianto, 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inflessibile della sua fine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nelle mie savie mani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quando realizzano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la fossa del suo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eterno struggimento. 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Una fine preannunciata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fin dalla sua nascita.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